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5CE" w:rsidRDefault="005E45CE" w:rsidP="005E45CE">
      <w:pPr>
        <w:pStyle w:val="a6"/>
      </w:pPr>
      <w:r>
        <w:t>За девять месяцев 2011 года на реализацию мероприятий по социальной поддержке населения и содержание учреждений социального обслуживания населения из средств федерального и областного бюджетов было израсходовано 3,2 млрд. рублей.</w:t>
      </w:r>
    </w:p>
    <w:p w:rsidR="005E45CE" w:rsidRDefault="005E45CE" w:rsidP="005E45CE">
      <w:pPr>
        <w:pStyle w:val="a6"/>
      </w:pPr>
      <w:r>
        <w:t>Государственная адресная помощь за девять месяцев 2011 года оказана 44,9 тыс. граждан на сумму 72,9 млн. рублей, что составляет 84,4% к уровню прошлого года по количеству получателей и 98,1 % по сумме выплат.</w:t>
      </w:r>
    </w:p>
    <w:p w:rsidR="005E45CE" w:rsidRDefault="005E45CE" w:rsidP="005E45CE">
      <w:pPr>
        <w:pStyle w:val="a6"/>
      </w:pPr>
      <w:r>
        <w:t>На предоставление льгот по оплате жилищно-коммунальных услуг льготным категориям граждан как областного, так и федерального уровня на 2011 год предусмотрено 1,5 млрд. рублей, в том числе 662,9 млн. рублей за счет областного бюджета и 880,5 млн. рублей за счет средств федерального бюджета. За девять месяцев 2011 года денежные выплаты произведены 284,3 тыс. льготникам на сумму 1 млрд. руб. Средний размер денежной выплаты по Липецкой области составил 391,48 рублей.</w:t>
      </w:r>
    </w:p>
    <w:p w:rsidR="005E45CE" w:rsidRDefault="005E45CE" w:rsidP="005E45CE">
      <w:pPr>
        <w:pStyle w:val="a6"/>
      </w:pPr>
      <w:r>
        <w:t>За аналогичный период 2010 года денежные выплаты были произведены 292,4 тыс. льготников на сумму 894,6 млн. руб. Средний размер денежной выплаты по Липецкой области вырос на 31,5 руб.</w:t>
      </w:r>
    </w:p>
    <w:p w:rsidR="005E45CE" w:rsidRDefault="005E45CE" w:rsidP="005E45CE">
      <w:pPr>
        <w:pStyle w:val="a6"/>
      </w:pPr>
      <w:r>
        <w:t>По итогам девяти месяцев 2011 года количество семей, получивших субсидии на оплату жилого помещения и коммунальных услуг, составило 42,4 тысячи на общую сумму 260,7 млн. рублей.</w:t>
      </w:r>
    </w:p>
    <w:p w:rsidR="005E45CE" w:rsidRDefault="005E45CE" w:rsidP="005E45CE">
      <w:pPr>
        <w:pStyle w:val="a6"/>
      </w:pPr>
      <w:r>
        <w:t>Средний размер субсидии за девять месяцев т. г. в области составил 1020,4 руб. (за аналогичный период 2010 года – 890,7 руб.). Среди получателей субсидий в 2011 году 1399 - многодетные семьи, 1497 – неполные семьи, 2278 - семьи, имеющие в своем составе получателей пенсии по потере кормильца, 5717 человек - одиноко проживающие пенсионеры.</w:t>
      </w:r>
    </w:p>
    <w:p w:rsidR="005E45CE" w:rsidRDefault="005E45CE" w:rsidP="005E45CE">
      <w:pPr>
        <w:pStyle w:val="a6"/>
      </w:pPr>
      <w:r>
        <w:t>Государственное ежемесячное пособие на ребенка по состоянию на 1 октября 2011 года назначено на 40,9 тыс. детей, на сумму 87,7 млн. рублей, что составляет 96 % к уровню прошлого года. Ежемесячная социальная выплата малоимущим семьям на ребенка (детей) в возрасте от полутора до 3-х лет произведена 7482 семьям на сумму 40 млн. рублей. Количество получателей данной выплаты возросло по сравнению с аналогичным периодом 2010 года на 509 человек в связи с отменой с июля 2011 года возрастного ценза для родителей.</w:t>
      </w:r>
    </w:p>
    <w:p w:rsidR="005E45CE" w:rsidRDefault="005E45CE" w:rsidP="005E45CE">
      <w:pPr>
        <w:pStyle w:val="a6"/>
      </w:pPr>
      <w:r>
        <w:t>Единовременную социальную выплату в связи с рождением (усыновлением) третьего и последующих детей или детей-близнецов получили в регионе 1111 семей на общую сумму 44,3 млн. рублей. В этом году в области таких семей стало больше на 89 по сравнению с аналогичным периодом прошлого года. Увеличился и размер выплаты – с 30 до 50 тысяч рублей.</w:t>
      </w:r>
    </w:p>
    <w:p w:rsidR="005E45CE" w:rsidRDefault="005E45CE" w:rsidP="005E45CE">
      <w:pPr>
        <w:pStyle w:val="a6"/>
      </w:pPr>
      <w:r>
        <w:t>Санаторно-курортное лечение, оплаченное из средств областного бюджета, прошли 25 беременных женщин, проживающих в области. Расходы составили 754 тысячи рублей.</w:t>
      </w:r>
    </w:p>
    <w:p w:rsidR="005E45CE" w:rsidRDefault="005E45CE" w:rsidP="005E45CE">
      <w:pPr>
        <w:pStyle w:val="a6"/>
      </w:pPr>
      <w:r>
        <w:t>В 2011 году на проведение детской оздоровительной кампании региону было выделено из федерального бюджета около 38 млн. рублей, на 17,8 млн. рублей больше, чем в предыдущем году. Это позволило оздоровить 4552 ребенка (за аналогичный период 2010 года – 3409 детей). 1374 ребенка (включая 78 детей-инвалидов) прошли оздоровление в областном реабилитационно-оздоровительном центре «Лесная сказка».</w:t>
      </w:r>
    </w:p>
    <w:p w:rsidR="005E45CE" w:rsidRDefault="005E45CE" w:rsidP="005E45CE">
      <w:pPr>
        <w:pStyle w:val="a6"/>
      </w:pPr>
      <w:r>
        <w:lastRenderedPageBreak/>
        <w:t>За получением социальных услуг различной направленности в учреждения социального обслуживания населения обращается каждый десятый житель области пенсионного возраста. Постоянное социальное обслуживание на дому получают в регионе 14,5 тысяч пожилых людей и инвалидов, что составляет около четырех процентов от общего числа пенсионеров. 44 процента обслуживаемых на дому – инвалиды; 27 – одинокие граждане, утратившие способность к самообслуживанию.</w:t>
      </w:r>
    </w:p>
    <w:p w:rsidR="005E45CE" w:rsidRDefault="005E45CE" w:rsidP="005E45CE">
      <w:pPr>
        <w:pStyle w:val="a6"/>
      </w:pPr>
      <w:r>
        <w:t>В связи с повышением доступности и качества разовых и периодических социально-бытовых и реабилитационных услуг, увеличивается число обращений за данными видами помощи граждан, не состоящих на надомном обслуживании. За девять месяцев разовые услуги различного характера получили 16,4 тысячи пожилых жителей и инвалидов.</w:t>
      </w:r>
    </w:p>
    <w:p w:rsidR="005E45CE" w:rsidRDefault="005E45CE" w:rsidP="005E45CE">
      <w:pPr>
        <w:pStyle w:val="a6"/>
      </w:pPr>
      <w:r>
        <w:t>В системе социальной защиты населения действуют 17 учреждений социального обслуживания, в том числе четыре учреждения с временным пребыванием людей. В 13 стационарных учреждениях системы соцзащиты населения в настоящее время проживают 2300 пожилых людей и инвалидов.</w:t>
      </w:r>
    </w:p>
    <w:p w:rsidR="005E45CE" w:rsidRDefault="005E45CE" w:rsidP="005E45CE">
      <w:pPr>
        <w:pStyle w:val="a6"/>
      </w:pPr>
      <w:r>
        <w:t>За девять месяцев текущего года на стационарное социальное обслуживание направлено 336 человек, 61 человек с ограниченными возможностями направлен в центр реабилитации инвалидов и пожилых людей «Сосновый бор» для прохождения профессиональной и социально-бытовой реабилитации. </w:t>
      </w:r>
    </w:p>
    <w:p w:rsidR="00B06237" w:rsidRDefault="00B06237">
      <w:bookmarkStart w:id="0" w:name="_GoBack"/>
      <w:bookmarkEnd w:id="0"/>
    </w:p>
    <w:sectPr w:rsidR="00B0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5CE"/>
    <w:rsid w:val="005E45CE"/>
    <w:rsid w:val="00A46BCA"/>
    <w:rsid w:val="00B0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B6926F-BD9B-4209-A6B8-8510860D1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6B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A46BCA"/>
    <w:rPr>
      <w:rFonts w:ascii="Segoe UI" w:eastAsia="Calibri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A46BCA"/>
    <w:pPr>
      <w:jc w:val="both"/>
    </w:pPr>
    <w:rPr>
      <w:rFonts w:eastAsia="Times New Roman"/>
      <w:lang w:eastAsia="ru-RU"/>
    </w:rPr>
  </w:style>
  <w:style w:type="paragraph" w:styleId="a6">
    <w:name w:val="Normal (Web)"/>
    <w:basedOn w:val="a"/>
    <w:uiPriority w:val="99"/>
    <w:semiHidden/>
    <w:unhideWhenUsed/>
    <w:rsid w:val="005E45C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3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645</Words>
  <Characters>3680</Characters>
  <Application>Microsoft Office Word</Application>
  <DocSecurity>0</DocSecurity>
  <Lines>30</Lines>
  <Paragraphs>8</Paragraphs>
  <ScaleCrop>false</ScaleCrop>
  <Company/>
  <LinksUpToDate>false</LinksUpToDate>
  <CharactersWithSpaces>4317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Вобликова С. Л.</dc:creator>
  <cp:keywords/>
  <dc:description/>
  <cp:lastModifiedBy>Вобликова С. Л.</cp:lastModifiedBy>
  <cp:revision>1</cp:revision>
  <dcterms:created xsi:type="dcterms:W3CDTF">2016-10-20T12:41:00Z</dcterms:created>
  <dcterms:modified xsi:type="dcterms:W3CDTF">2016-10-20T12:43:00Z</dcterms:modified>
</cp:coreProperties>
</file>